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bookmarkStart w:id="0" w:name="_GoBack"/>
      <w:bookmarkEnd w:id="0"/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4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5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7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7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8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10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11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12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12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12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13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15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17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20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21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22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26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27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27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28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37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295017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B6214A" w:rsidRPr="002448DE">
              <w:rPr>
                <w:noProof/>
                <w:webHidden/>
                <w:sz w:val="26"/>
                <w:szCs w:val="26"/>
              </w:rPr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38</w:t>
            </w:r>
            <w:r w:rsidR="00B6214A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B6214A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8"/>
          <w:footerReference w:type="first" r:id="rId9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позднее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r w:rsidR="00A11422" w:rsidRPr="00CC173B">
        <w:rPr>
          <w:sz w:val="26"/>
          <w:szCs w:val="26"/>
          <w:lang w:val="en-US"/>
        </w:rPr>
        <w:t>fipi</w:t>
      </w:r>
      <w:r w:rsidR="00C05578" w:rsidRPr="00CC173B">
        <w:rPr>
          <w:sz w:val="26"/>
          <w:szCs w:val="26"/>
        </w:rPr>
        <w:t>.</w:t>
      </w:r>
      <w:r w:rsidR="00A11422" w:rsidRPr="00CC173B">
        <w:rPr>
          <w:sz w:val="26"/>
          <w:szCs w:val="26"/>
          <w:lang w:val="en-US"/>
        </w:rPr>
        <w:t>ru</w:t>
      </w:r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0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1B0D25">
        <w:rPr>
          <w:sz w:val="26"/>
          <w:szCs w:val="26"/>
        </w:rPr>
        <w:t>,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843822" w:rsidRPr="00BC7200">
        <w:rPr>
          <w:rFonts w:ascii="Times New Roman" w:hAnsi="Times New Roman" w:cs="Times New Roman"/>
          <w:color w:val="auto"/>
        </w:rPr>
        <w:t>проведению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указанной категории обучающихся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6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(екст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Организатору</w:t>
      </w:r>
      <w:r w:rsidR="00472A83">
        <w:rPr>
          <w:sz w:val="26"/>
          <w:szCs w:val="26"/>
        </w:rPr>
        <w:t>(ам)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>Принять по завершении итогового собеседования от технического специалиста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варианта оценивания ответов участников итогового собеседования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r w:rsidR="00F86D8D">
        <w:rPr>
          <w:sz w:val="26"/>
          <w:szCs w:val="26"/>
          <w:lang w:val="en-US"/>
        </w:rPr>
        <w:t>fipi</w:t>
      </w:r>
      <w:r w:rsidR="00C05578" w:rsidRPr="00B66452">
        <w:rPr>
          <w:sz w:val="26"/>
          <w:szCs w:val="26"/>
        </w:rPr>
        <w:t>.</w:t>
      </w:r>
      <w:r w:rsidR="00F86D8D">
        <w:rPr>
          <w:sz w:val="26"/>
          <w:szCs w:val="26"/>
          <w:lang w:val="en-US"/>
        </w:rPr>
        <w:t>ru</w:t>
      </w:r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 При необходимости параллельно может осуществляться запись ответов каждого участника итогового собеседования).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3527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ACF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3527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7F6A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3527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66C6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3527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168A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C64A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F3C0E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3527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7D26A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17" w:rsidRDefault="00295017" w:rsidP="00C37DEA">
      <w:r>
        <w:separator/>
      </w:r>
    </w:p>
  </w:endnote>
  <w:endnote w:type="continuationSeparator" w:id="0">
    <w:p w:rsidR="00295017" w:rsidRDefault="00295017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951164"/>
      <w:docPartObj>
        <w:docPartGallery w:val="Page Numbers (Bottom of Page)"/>
        <w:docPartUnique/>
      </w:docPartObj>
    </w:sdtPr>
    <w:sdtEndPr/>
    <w:sdtContent>
      <w:p w:rsidR="009F4D81" w:rsidRDefault="00B6214A">
        <w:pPr>
          <w:pStyle w:val="a3"/>
          <w:jc w:val="right"/>
        </w:pPr>
        <w:r>
          <w:fldChar w:fldCharType="begin"/>
        </w:r>
        <w:r w:rsidR="003E2D93">
          <w:instrText>PAGE   \* MERGEFORMAT</w:instrText>
        </w:r>
        <w:r>
          <w:fldChar w:fldCharType="separate"/>
        </w:r>
        <w:r w:rsidR="0093527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780070"/>
      <w:docPartObj>
        <w:docPartGallery w:val="Page Numbers (Bottom of Page)"/>
        <w:docPartUnique/>
      </w:docPartObj>
    </w:sdtPr>
    <w:sdtEndPr/>
    <w:sdtContent>
      <w:p w:rsidR="009F4D81" w:rsidRDefault="00B6214A">
        <w:pPr>
          <w:pStyle w:val="a3"/>
          <w:jc w:val="right"/>
        </w:pPr>
        <w:r>
          <w:fldChar w:fldCharType="begin"/>
        </w:r>
        <w:r w:rsidR="003E2D93">
          <w:instrText>PAGE   \* MERGEFORMAT</w:instrText>
        </w:r>
        <w:r>
          <w:fldChar w:fldCharType="separate"/>
        </w:r>
        <w:r w:rsidR="009352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17" w:rsidRDefault="00295017" w:rsidP="00C37DEA">
      <w:r>
        <w:separator/>
      </w:r>
    </w:p>
  </w:footnote>
  <w:footnote w:type="continuationSeparator" w:id="0">
    <w:p w:rsidR="00295017" w:rsidRDefault="00295017" w:rsidP="00C37DEA">
      <w:r>
        <w:continuationSeparator/>
      </w:r>
    </w:p>
  </w:footnote>
  <w:footnote w:id="1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 xml:space="preserve">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95017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4721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805FC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B6FFC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1BD9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35272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54F5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14A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1D7A3-7004-4E7A-B9A0-2282CDEB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pic9.ruste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2523-5EB1-4DC6-B50B-38F9C7A7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9795</Words>
  <Characters>55832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1</cp:lastModifiedBy>
  <cp:revision>2</cp:revision>
  <cp:lastPrinted>2019-01-15T05:28:00Z</cp:lastPrinted>
  <dcterms:created xsi:type="dcterms:W3CDTF">2021-04-24T06:24:00Z</dcterms:created>
  <dcterms:modified xsi:type="dcterms:W3CDTF">2021-04-24T06:24:00Z</dcterms:modified>
</cp:coreProperties>
</file>